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9"/>
        <w:tabs>
          <w:tab w:val="left" w:pos="0"/>
          <w:tab w:val="center" w:pos="4252"/>
          <w:tab w:val="right" w:pos="8504"/>
        </w:tabs>
        <w:spacing w:after="170" w:line="360" w:lineRule="auto"/>
        <w:jc w:val="center"/>
        <w:rPr>
          <w:rFonts w:ascii="Arial" w:hAnsi="Arial"/>
        </w:rPr>
      </w:pPr>
      <w:r>
        <w:rPr>
          <w:rFonts w:ascii="Arial" w:hAnsi="Arial" w:eastAsia="Arial" w:cs="Arial"/>
          <w:b/>
          <w:color w:val="000000"/>
          <w:sz w:val="24"/>
          <w:szCs w:val="24"/>
        </w:rPr>
        <w:t xml:space="preserve">MEMORIAL DESCRITIVO </w:t>
      </w:r>
    </w:p>
    <w:p>
      <w:pPr>
        <w:pStyle w:val="9"/>
        <w:spacing w:after="0" w:line="240" w:lineRule="auto"/>
        <w:jc w:val="both"/>
        <w:rPr>
          <w:rFonts w:ascii="Arial" w:hAnsi="Arial"/>
          <w:color w:val="FF0000"/>
        </w:rPr>
      </w:pPr>
    </w:p>
    <w:p>
      <w:pPr>
        <w:pStyle w:val="9"/>
        <w:spacing w:after="0" w:line="240" w:lineRule="auto"/>
        <w:ind w:left="360"/>
        <w:jc w:val="both"/>
        <w:rPr>
          <w:rFonts w:ascii="Arial" w:hAnsi="Arial"/>
        </w:rPr>
      </w:pPr>
      <w:r>
        <w:rPr>
          <w:rFonts w:ascii="Arial" w:hAnsi="Arial"/>
        </w:rPr>
        <w:t>O município de Amparo conta com uma malha viária extensa, necessitando em grande parte de restauração, tendo em vista a existência de diversos defeitos no pavimento, o que vem acarretando riscos aos veículos e usuários das vias.</w:t>
      </w:r>
    </w:p>
    <w:p>
      <w:pPr>
        <w:pStyle w:val="9"/>
        <w:spacing w:after="0" w:line="240" w:lineRule="auto"/>
        <w:ind w:left="360"/>
        <w:jc w:val="both"/>
        <w:rPr>
          <w:rFonts w:ascii="Arial" w:hAnsi="Arial"/>
        </w:rPr>
      </w:pPr>
    </w:p>
    <w:p>
      <w:pPr>
        <w:pStyle w:val="9"/>
        <w:spacing w:after="0" w:line="240" w:lineRule="auto"/>
        <w:ind w:left="360"/>
        <w:jc w:val="both"/>
        <w:rPr>
          <w:rFonts w:ascii="Arial" w:hAnsi="Arial" w:eastAsia="Arial" w:cs="Arial"/>
        </w:rPr>
      </w:pPr>
      <w:r>
        <w:rPr>
          <w:rFonts w:ascii="Arial" w:hAnsi="Arial" w:eastAsia="Arial" w:cs="Arial"/>
        </w:rPr>
        <w:t>Os serviços propostos visam a restauração do pavimento existente, que apresenta inúmeras patologias, tais como, panelas, buracos, trincas e desgaste acentuado da camada de rolamento.</w:t>
      </w:r>
    </w:p>
    <w:p>
      <w:pPr>
        <w:pStyle w:val="9"/>
        <w:spacing w:after="0" w:line="240" w:lineRule="auto"/>
        <w:ind w:left="360"/>
        <w:jc w:val="both"/>
        <w:rPr>
          <w:rFonts w:ascii="Arial" w:hAnsi="Arial" w:eastAsia="Arial" w:cs="Arial"/>
        </w:rPr>
      </w:pPr>
    </w:p>
    <w:p>
      <w:pPr>
        <w:pStyle w:val="9"/>
        <w:spacing w:after="0" w:line="240" w:lineRule="auto"/>
        <w:ind w:left="360"/>
        <w:jc w:val="both"/>
        <w:rPr>
          <w:rFonts w:ascii="Arial" w:hAnsi="Arial"/>
        </w:rPr>
      </w:pPr>
      <w:r>
        <w:rPr>
          <w:rFonts w:ascii="Arial" w:hAnsi="Arial" w:eastAsia="Arial" w:cs="Arial"/>
        </w:rPr>
        <w:t>Prevê-se a execução de serviços de reparos localizados, fresagem da camada de rolamento existente e recapeamento com concreto asfáltico usinado a quente – CBUQ e/ou concreto asfáltico modificado com borracha.</w:t>
      </w:r>
    </w:p>
    <w:p>
      <w:pPr>
        <w:pStyle w:val="9"/>
        <w:spacing w:after="0" w:line="240" w:lineRule="auto"/>
        <w:ind w:left="360"/>
        <w:jc w:val="both"/>
        <w:rPr>
          <w:rFonts w:ascii="Arial" w:hAnsi="Arial"/>
        </w:rPr>
      </w:pPr>
    </w:p>
    <w:p>
      <w:pPr>
        <w:pStyle w:val="9"/>
        <w:spacing w:after="0" w:line="240" w:lineRule="auto"/>
        <w:ind w:left="360"/>
        <w:jc w:val="both"/>
        <w:rPr>
          <w:rFonts w:ascii="Arial" w:hAnsi="Arial"/>
        </w:rPr>
      </w:pPr>
      <w:r>
        <w:rPr>
          <w:rFonts w:ascii="Arial" w:hAnsi="Arial" w:eastAsia="Arial" w:cs="Arial"/>
        </w:rPr>
        <w:t>A CONTRATADA deverá obrigatoriamente seguir os procedimentos abaixo relacionados:</w:t>
      </w:r>
    </w:p>
    <w:p>
      <w:pPr>
        <w:pStyle w:val="10"/>
        <w:jc w:val="both"/>
        <w:rPr>
          <w:rFonts w:ascii="Arial" w:hAnsi="Arial"/>
        </w:rPr>
      </w:pPr>
    </w:p>
    <w:p>
      <w:pPr>
        <w:pStyle w:val="9"/>
        <w:numPr>
          <w:ilvl w:val="0"/>
          <w:numId w:val="1"/>
        </w:numPr>
        <w:spacing w:after="0" w:line="240" w:lineRule="auto"/>
        <w:jc w:val="both"/>
        <w:rPr>
          <w:rFonts w:ascii="Arial" w:hAnsi="Arial"/>
        </w:rPr>
      </w:pPr>
      <w:r>
        <w:rPr>
          <w:rFonts w:ascii="Arial" w:hAnsi="Arial"/>
        </w:rPr>
        <w:t>Implantar toda a sinalização de obra necessária para o bom andamento dos serviços, garantindo a segurança dos usuários da via, respeitando as normas em vigor. Planejar as frentes de ataque dos serviços de tal modo que interfiram o mínimo possível com o trânsito local.</w:t>
      </w:r>
    </w:p>
    <w:p>
      <w:pPr>
        <w:pStyle w:val="9"/>
        <w:spacing w:after="0" w:line="240" w:lineRule="auto"/>
        <w:ind w:left="360"/>
        <w:jc w:val="both"/>
        <w:rPr>
          <w:rFonts w:ascii="Arial" w:hAnsi="Arial"/>
        </w:rPr>
      </w:pPr>
    </w:p>
    <w:p>
      <w:pPr>
        <w:pStyle w:val="9"/>
        <w:numPr>
          <w:ilvl w:val="0"/>
          <w:numId w:val="1"/>
        </w:numPr>
        <w:spacing w:after="0" w:line="240" w:lineRule="auto"/>
        <w:jc w:val="both"/>
        <w:rPr>
          <w:rFonts w:ascii="Arial" w:hAnsi="Arial"/>
        </w:rPr>
      </w:pPr>
      <w:r>
        <w:rPr>
          <w:rFonts w:ascii="Arial" w:hAnsi="Arial"/>
        </w:rPr>
        <w:t>Executar abertura de caixa nos locais onde se faz necessário remendo do pavimento existente e reposição com Brita Graduada Simples.</w:t>
      </w:r>
    </w:p>
    <w:p>
      <w:pPr>
        <w:pStyle w:val="9"/>
        <w:spacing w:after="0" w:line="240" w:lineRule="auto"/>
        <w:jc w:val="both"/>
        <w:rPr>
          <w:rFonts w:ascii="Arial" w:hAnsi="Arial"/>
        </w:rPr>
      </w:pPr>
    </w:p>
    <w:p>
      <w:pPr>
        <w:pStyle w:val="9"/>
        <w:numPr>
          <w:ilvl w:val="0"/>
          <w:numId w:val="1"/>
        </w:numPr>
        <w:spacing w:after="0" w:line="240" w:lineRule="auto"/>
        <w:jc w:val="both"/>
        <w:rPr>
          <w:rFonts w:ascii="Arial" w:hAnsi="Arial"/>
        </w:rPr>
      </w:pPr>
      <w:r>
        <w:rPr>
          <w:rFonts w:ascii="Arial" w:hAnsi="Arial"/>
        </w:rPr>
        <w:t>Executar a fresagem de toda a área quantificada na planilha orçamentária, cuidando para que não ocorra a permanência de materiais soltos ao final dos serviços.</w:t>
      </w:r>
    </w:p>
    <w:p>
      <w:pPr>
        <w:pStyle w:val="10"/>
        <w:ind w:left="0" w:firstLine="720"/>
        <w:jc w:val="both"/>
        <w:rPr>
          <w:rFonts w:ascii="Arial" w:hAnsi="Arial"/>
        </w:rPr>
      </w:pPr>
    </w:p>
    <w:p>
      <w:pPr>
        <w:pStyle w:val="10"/>
        <w:numPr>
          <w:ilvl w:val="0"/>
          <w:numId w:val="1"/>
        </w:numPr>
        <w:jc w:val="both"/>
        <w:rPr>
          <w:rFonts w:ascii="Arial" w:hAnsi="Arial"/>
        </w:rPr>
      </w:pPr>
      <w:r>
        <w:rPr>
          <w:rFonts w:ascii="Arial" w:hAnsi="Arial"/>
        </w:rPr>
        <w:t>Limpeza de toda área fresada, com a utilização de vassoura mecânica, jato de ar, etc., de tal forma que se garanta a total isenção de impurezas na superfície, a fim de garantir a perfeita aderência da camada de CBUQ à base, por meio da pintura de ligação.</w:t>
      </w:r>
    </w:p>
    <w:p>
      <w:pPr>
        <w:pStyle w:val="10"/>
        <w:ind w:left="0"/>
        <w:jc w:val="both"/>
        <w:rPr>
          <w:rFonts w:ascii="Arial" w:hAnsi="Arial"/>
        </w:rPr>
      </w:pPr>
    </w:p>
    <w:p>
      <w:pPr>
        <w:pStyle w:val="10"/>
        <w:numPr>
          <w:ilvl w:val="0"/>
          <w:numId w:val="1"/>
        </w:numPr>
        <w:jc w:val="both"/>
        <w:rPr>
          <w:rFonts w:ascii="Arial" w:hAnsi="Arial"/>
        </w:rPr>
      </w:pPr>
      <w:r>
        <w:rPr>
          <w:rFonts w:ascii="Arial" w:hAnsi="Arial"/>
        </w:rPr>
        <w:t>Execução de Pintura de ligação, com emulsão RR-2C, nas quantidades e especificações previstas na norma.</w:t>
      </w:r>
    </w:p>
    <w:p>
      <w:pPr>
        <w:pStyle w:val="10"/>
        <w:ind w:left="0"/>
        <w:jc w:val="both"/>
        <w:rPr>
          <w:rFonts w:ascii="Arial" w:hAnsi="Arial"/>
        </w:rPr>
      </w:pPr>
    </w:p>
    <w:p>
      <w:pPr>
        <w:pStyle w:val="10"/>
        <w:numPr>
          <w:ilvl w:val="0"/>
          <w:numId w:val="1"/>
        </w:numPr>
        <w:jc w:val="both"/>
        <w:rPr>
          <w:rFonts w:ascii="Arial" w:hAnsi="Arial"/>
        </w:rPr>
      </w:pPr>
      <w:r>
        <w:rPr>
          <w:rFonts w:ascii="Arial" w:hAnsi="Arial"/>
        </w:rPr>
        <w:t>Aplicação de camada de rolamento com Concreto Betuminoso Usinado a Quente, CBUQ ou Concreto Asfáltico Modificado com Borracha, atendendo a faixa prevista no projeto, espessura e demais especificações.</w:t>
      </w:r>
    </w:p>
    <w:p>
      <w:pPr>
        <w:pStyle w:val="10"/>
        <w:ind w:left="0"/>
        <w:jc w:val="both"/>
        <w:rPr>
          <w:rFonts w:ascii="Arial" w:hAnsi="Arial"/>
        </w:rPr>
      </w:pPr>
    </w:p>
    <w:p>
      <w:pPr>
        <w:pStyle w:val="10"/>
        <w:numPr>
          <w:ilvl w:val="0"/>
          <w:numId w:val="1"/>
        </w:numPr>
        <w:jc w:val="both"/>
        <w:rPr>
          <w:rFonts w:ascii="Arial" w:hAnsi="Arial"/>
        </w:rPr>
      </w:pPr>
      <w:r>
        <w:rPr>
          <w:rFonts w:ascii="Arial" w:hAnsi="Arial"/>
        </w:rPr>
        <w:t>Limpeza da via, para liberação do tráfego, com a remoção de todos os entulhos que porventura existam.</w:t>
      </w:r>
    </w:p>
    <w:p>
      <w:pPr>
        <w:pStyle w:val="10"/>
        <w:ind w:left="0"/>
        <w:jc w:val="both"/>
        <w:rPr>
          <w:rFonts w:ascii="Arial" w:hAnsi="Arial"/>
        </w:rPr>
      </w:pPr>
    </w:p>
    <w:p>
      <w:pPr>
        <w:pStyle w:val="10"/>
        <w:numPr>
          <w:ilvl w:val="0"/>
          <w:numId w:val="1"/>
        </w:numPr>
        <w:jc w:val="both"/>
        <w:rPr>
          <w:rFonts w:ascii="Arial" w:hAnsi="Arial"/>
        </w:rPr>
      </w:pPr>
      <w:r>
        <w:rPr>
          <w:rFonts w:ascii="Arial" w:hAnsi="Arial"/>
        </w:rPr>
        <w:t>Todos os serviços deverão atender as especificações e normas pertinentes, quais sejam, DNIT, DER-SP, ABNT e demais.</w:t>
      </w:r>
    </w:p>
    <w:p>
      <w:pPr>
        <w:pStyle w:val="9"/>
        <w:spacing w:after="0" w:line="240" w:lineRule="auto"/>
        <w:ind w:left="360"/>
        <w:jc w:val="both"/>
        <w:rPr>
          <w:rFonts w:ascii="Arial" w:hAnsi="Arial"/>
          <w:b/>
          <w:bCs/>
        </w:rPr>
      </w:pPr>
      <w:r>
        <w:rPr>
          <w:rFonts w:ascii="Arial" w:hAnsi="Arial"/>
          <w:b/>
          <w:bCs/>
        </w:rPr>
        <w:t>REMENDOS DO PAVIMENTO</w:t>
      </w:r>
    </w:p>
    <w:p>
      <w:pPr>
        <w:pStyle w:val="9"/>
        <w:spacing w:after="0" w:line="240" w:lineRule="auto"/>
        <w:ind w:left="360"/>
        <w:jc w:val="both"/>
        <w:rPr>
          <w:rFonts w:ascii="Arial" w:hAnsi="Arial"/>
          <w:b/>
          <w:bCs/>
        </w:rPr>
      </w:pPr>
    </w:p>
    <w:p>
      <w:pPr>
        <w:numPr>
          <w:ilvl w:val="0"/>
          <w:numId w:val="2"/>
        </w:numPr>
        <w:rPr>
          <w:rFonts w:ascii="Arial" w:hAnsi="Arial" w:cs="Arial"/>
        </w:rPr>
      </w:pPr>
      <w:r>
        <w:rPr>
          <w:rFonts w:ascii="Arial" w:hAnsi="Arial" w:cs="Arial"/>
        </w:rPr>
        <w:t>Abertura de caixa até 25 cm, inclui escavação, compactação, transporte e preparo do sub-leito.</w:t>
      </w:r>
    </w:p>
    <w:p>
      <w:pPr>
        <w:numPr>
          <w:ilvl w:val="0"/>
          <w:numId w:val="2"/>
        </w:numPr>
        <w:rPr>
          <w:rFonts w:ascii="Arial" w:hAnsi="Arial" w:cs="Arial"/>
        </w:rPr>
      </w:pPr>
      <w:r>
        <w:rPr>
          <w:rFonts w:ascii="Arial" w:hAnsi="Arial" w:cs="Arial"/>
        </w:rPr>
        <w:t>Base de Brita Graduada Simples. h = 15,0 cm</w:t>
      </w:r>
    </w:p>
    <w:p>
      <w:pPr>
        <w:pStyle w:val="9"/>
        <w:spacing w:after="0" w:line="240" w:lineRule="auto"/>
        <w:ind w:left="360"/>
        <w:jc w:val="both"/>
        <w:rPr>
          <w:rFonts w:ascii="Arial" w:hAnsi="Arial" w:eastAsia="Arial" w:cs="Arial"/>
          <w:b/>
        </w:rPr>
      </w:pPr>
    </w:p>
    <w:p>
      <w:pPr>
        <w:pStyle w:val="9"/>
        <w:spacing w:after="0" w:line="240" w:lineRule="auto"/>
        <w:ind w:left="360"/>
        <w:jc w:val="both"/>
        <w:rPr>
          <w:rFonts w:ascii="Arial" w:hAnsi="Arial"/>
        </w:rPr>
      </w:pPr>
      <w:r>
        <w:rPr>
          <w:rFonts w:ascii="Arial" w:hAnsi="Arial" w:eastAsia="Arial" w:cs="Arial"/>
          <w:b/>
        </w:rPr>
        <w:t>SERVIÇOS DE RECAPEAMENTO COM FRESAGEM E/OU REGULARIZAÇÃO</w:t>
      </w:r>
    </w:p>
    <w:p>
      <w:pPr>
        <w:pStyle w:val="9"/>
        <w:spacing w:after="0" w:line="240" w:lineRule="auto"/>
        <w:jc w:val="both"/>
        <w:rPr>
          <w:rFonts w:ascii="Arial" w:hAnsi="Arial" w:eastAsia="Arial" w:cs="Arial"/>
          <w:b/>
        </w:rPr>
      </w:pPr>
    </w:p>
    <w:p>
      <w:pPr>
        <w:pStyle w:val="9"/>
        <w:spacing w:after="0" w:line="240" w:lineRule="auto"/>
        <w:jc w:val="both"/>
        <w:rPr>
          <w:rFonts w:ascii="Arial" w:hAnsi="Arial" w:eastAsia="Arial" w:cs="Arial"/>
          <w:b/>
          <w:u w:val="single"/>
        </w:rPr>
      </w:pPr>
      <w:r>
        <w:rPr>
          <w:rFonts w:ascii="Arial" w:hAnsi="Arial" w:eastAsia="Arial" w:cs="Arial"/>
          <w:b/>
          <w:u w:val="single"/>
        </w:rPr>
        <w:t>Pavimento Tipo I</w:t>
      </w:r>
    </w:p>
    <w:p>
      <w:pPr>
        <w:pStyle w:val="9"/>
        <w:spacing w:after="0" w:line="240" w:lineRule="auto"/>
        <w:jc w:val="both"/>
        <w:rPr>
          <w:rFonts w:ascii="Arial" w:hAnsi="Arial" w:eastAsia="Arial" w:cs="Arial"/>
          <w:b/>
        </w:rPr>
      </w:pPr>
    </w:p>
    <w:p>
      <w:pPr>
        <w:pStyle w:val="9"/>
        <w:numPr>
          <w:ilvl w:val="0"/>
          <w:numId w:val="3"/>
        </w:numPr>
        <w:spacing w:after="0" w:line="240" w:lineRule="auto"/>
        <w:jc w:val="both"/>
        <w:rPr>
          <w:rFonts w:ascii="Arial" w:hAnsi="Arial" w:eastAsia="Arial" w:cs="Arial"/>
          <w:bCs/>
        </w:rPr>
      </w:pPr>
      <w:r>
        <w:rPr>
          <w:rFonts w:ascii="Arial" w:hAnsi="Arial" w:eastAsia="Arial" w:cs="Arial"/>
          <w:bCs/>
        </w:rPr>
        <w:t>Fresagem da camada de rolamento existente – 3,0 =&lt; h =&lt; 5,0 cm.</w:t>
      </w:r>
    </w:p>
    <w:p>
      <w:pPr>
        <w:pStyle w:val="9"/>
        <w:spacing w:after="0" w:line="240" w:lineRule="auto"/>
        <w:ind w:left="720"/>
        <w:jc w:val="both"/>
        <w:rPr>
          <w:rFonts w:ascii="Arial" w:hAnsi="Arial" w:eastAsia="Arial" w:cs="Arial"/>
          <w:bCs/>
        </w:rPr>
      </w:pPr>
      <w:r>
        <w:rPr>
          <w:rFonts w:ascii="Arial" w:hAnsi="Arial" w:eastAsia="Arial" w:cs="Arial"/>
          <w:bCs/>
        </w:rPr>
        <w:t>ET-DE-P00/038 – DER/SP</w:t>
      </w:r>
    </w:p>
    <w:p>
      <w:pPr>
        <w:pStyle w:val="9"/>
        <w:spacing w:after="0" w:line="240" w:lineRule="auto"/>
        <w:ind w:left="720"/>
        <w:jc w:val="both"/>
        <w:rPr>
          <w:rFonts w:ascii="Arial" w:hAnsi="Arial" w:eastAsia="Arial" w:cs="Arial"/>
          <w:bCs/>
        </w:rPr>
      </w:pPr>
    </w:p>
    <w:p>
      <w:pPr>
        <w:pStyle w:val="9"/>
        <w:numPr>
          <w:ilvl w:val="0"/>
          <w:numId w:val="3"/>
        </w:numPr>
        <w:spacing w:after="0" w:line="240" w:lineRule="auto"/>
        <w:jc w:val="both"/>
        <w:rPr>
          <w:rFonts w:ascii="Arial" w:hAnsi="Arial" w:eastAsia="Arial" w:cs="Arial"/>
          <w:bCs/>
        </w:rPr>
      </w:pPr>
      <w:r>
        <w:rPr>
          <w:rFonts w:ascii="Arial" w:hAnsi="Arial" w:eastAsia="Arial" w:cs="Arial"/>
          <w:bCs/>
        </w:rPr>
        <w:t>Pintura de ligação – RR.2C.</w:t>
      </w:r>
    </w:p>
    <w:p>
      <w:pPr>
        <w:pStyle w:val="9"/>
        <w:spacing w:after="0" w:line="240" w:lineRule="auto"/>
        <w:ind w:left="720"/>
        <w:jc w:val="both"/>
        <w:rPr>
          <w:rFonts w:ascii="Arial" w:hAnsi="Arial" w:eastAsia="Arial" w:cs="Arial"/>
          <w:bCs/>
        </w:rPr>
      </w:pPr>
      <w:r>
        <w:rPr>
          <w:rFonts w:ascii="Arial" w:hAnsi="Arial" w:eastAsia="Arial" w:cs="Arial"/>
          <w:bCs/>
        </w:rPr>
        <w:t>ET-DE-P00/020 – DER/SP</w:t>
      </w:r>
    </w:p>
    <w:p>
      <w:pPr>
        <w:pStyle w:val="9"/>
        <w:spacing w:after="0" w:line="240" w:lineRule="auto"/>
        <w:ind w:left="720"/>
        <w:jc w:val="both"/>
        <w:rPr>
          <w:rFonts w:ascii="Arial" w:hAnsi="Arial" w:eastAsia="Arial" w:cs="Arial"/>
          <w:bCs/>
        </w:rPr>
      </w:pPr>
    </w:p>
    <w:p>
      <w:pPr>
        <w:pStyle w:val="9"/>
        <w:numPr>
          <w:ilvl w:val="0"/>
          <w:numId w:val="3"/>
        </w:numPr>
        <w:spacing w:after="0" w:line="240" w:lineRule="auto"/>
        <w:jc w:val="both"/>
        <w:rPr>
          <w:rFonts w:ascii="Arial" w:hAnsi="Arial" w:eastAsia="Arial" w:cs="Arial"/>
          <w:bCs/>
        </w:rPr>
      </w:pPr>
      <w:r>
        <w:rPr>
          <w:rFonts w:ascii="Arial" w:hAnsi="Arial" w:eastAsia="Arial" w:cs="Arial"/>
          <w:bCs/>
        </w:rPr>
        <w:t>Camada de rolamento c/ CBUQ faixa III  – h = 4,00 cm</w:t>
      </w:r>
    </w:p>
    <w:p>
      <w:pPr>
        <w:pStyle w:val="9"/>
        <w:spacing w:after="0" w:line="240" w:lineRule="auto"/>
        <w:ind w:left="720"/>
        <w:jc w:val="both"/>
        <w:rPr>
          <w:rFonts w:ascii="Arial" w:hAnsi="Arial" w:eastAsia="Arial" w:cs="Arial"/>
          <w:bCs/>
        </w:rPr>
      </w:pPr>
      <w:r>
        <w:rPr>
          <w:rFonts w:ascii="Arial" w:hAnsi="Arial" w:eastAsia="Arial" w:cs="Arial"/>
          <w:bCs/>
        </w:rPr>
        <w:t>ET-DE-P00/027 – DER/SP</w:t>
      </w:r>
    </w:p>
    <w:p>
      <w:pPr>
        <w:pStyle w:val="9"/>
        <w:spacing w:after="0" w:line="240" w:lineRule="auto"/>
        <w:ind w:left="720"/>
        <w:jc w:val="both"/>
        <w:rPr>
          <w:rFonts w:ascii="Arial" w:hAnsi="Arial" w:eastAsia="Arial" w:cs="Arial"/>
          <w:bCs/>
        </w:rPr>
      </w:pPr>
    </w:p>
    <w:p>
      <w:pPr>
        <w:pStyle w:val="9"/>
        <w:spacing w:after="0" w:line="240" w:lineRule="auto"/>
        <w:jc w:val="both"/>
        <w:rPr>
          <w:rFonts w:hint="default" w:ascii="Arial" w:hAnsi="Arial" w:eastAsia="Arial" w:cs="Arial"/>
          <w:b/>
          <w:u w:val="single"/>
          <w:lang w:val="pt-BR"/>
        </w:rPr>
      </w:pPr>
      <w:r>
        <w:rPr>
          <w:rFonts w:ascii="Arial" w:hAnsi="Arial" w:eastAsia="Arial" w:cs="Arial"/>
          <w:b/>
          <w:u w:val="single"/>
        </w:rPr>
        <w:t>Pavimento Tipo I</w:t>
      </w:r>
      <w:r>
        <w:rPr>
          <w:rFonts w:hint="default" w:ascii="Arial" w:hAnsi="Arial" w:eastAsia="Arial" w:cs="Arial"/>
          <w:b/>
          <w:u w:val="single"/>
          <w:lang w:val="pt-BR"/>
        </w:rPr>
        <w:t>I</w:t>
      </w:r>
    </w:p>
    <w:p>
      <w:pPr>
        <w:pStyle w:val="9"/>
        <w:spacing w:after="0" w:line="240" w:lineRule="auto"/>
        <w:jc w:val="both"/>
        <w:rPr>
          <w:rFonts w:ascii="Arial" w:hAnsi="Arial" w:eastAsia="Arial" w:cs="Arial"/>
          <w:b/>
        </w:rPr>
      </w:pPr>
    </w:p>
    <w:p>
      <w:pPr>
        <w:pStyle w:val="9"/>
        <w:numPr>
          <w:ilvl w:val="0"/>
          <w:numId w:val="3"/>
        </w:numPr>
        <w:spacing w:after="0" w:line="240" w:lineRule="auto"/>
        <w:jc w:val="both"/>
        <w:rPr>
          <w:rFonts w:ascii="Arial" w:hAnsi="Arial" w:eastAsia="Arial" w:cs="Arial"/>
          <w:bCs/>
        </w:rPr>
      </w:pPr>
      <w:r>
        <w:rPr>
          <w:rFonts w:ascii="Arial" w:hAnsi="Arial" w:eastAsia="Arial" w:cs="Arial"/>
          <w:bCs/>
        </w:rPr>
        <w:t>Fresagem da camada de rolamento existente – 3,0 =&lt; h =&lt; 5,0 cm.</w:t>
      </w:r>
    </w:p>
    <w:p>
      <w:pPr>
        <w:pStyle w:val="9"/>
        <w:spacing w:after="0" w:line="240" w:lineRule="auto"/>
        <w:ind w:left="720"/>
        <w:jc w:val="both"/>
        <w:rPr>
          <w:rFonts w:ascii="Arial" w:hAnsi="Arial" w:eastAsia="Arial" w:cs="Arial"/>
          <w:bCs/>
        </w:rPr>
      </w:pPr>
      <w:r>
        <w:rPr>
          <w:rFonts w:ascii="Arial" w:hAnsi="Arial" w:eastAsia="Arial" w:cs="Arial"/>
          <w:bCs/>
        </w:rPr>
        <w:t>ET-DE-P00/038 – DER/SP</w:t>
      </w:r>
    </w:p>
    <w:p>
      <w:pPr>
        <w:pStyle w:val="9"/>
        <w:spacing w:after="0" w:line="240" w:lineRule="auto"/>
        <w:ind w:left="720"/>
        <w:jc w:val="both"/>
        <w:rPr>
          <w:rFonts w:ascii="Arial" w:hAnsi="Arial" w:eastAsia="Arial" w:cs="Arial"/>
          <w:bCs/>
        </w:rPr>
      </w:pPr>
    </w:p>
    <w:p>
      <w:pPr>
        <w:pStyle w:val="9"/>
        <w:numPr>
          <w:ilvl w:val="0"/>
          <w:numId w:val="3"/>
        </w:numPr>
        <w:spacing w:after="0" w:line="240" w:lineRule="auto"/>
        <w:jc w:val="both"/>
        <w:rPr>
          <w:rFonts w:ascii="Arial" w:hAnsi="Arial" w:eastAsia="Arial" w:cs="Arial"/>
          <w:bCs/>
        </w:rPr>
      </w:pPr>
      <w:r>
        <w:rPr>
          <w:rFonts w:ascii="Arial" w:hAnsi="Arial" w:eastAsia="Arial" w:cs="Arial"/>
          <w:bCs/>
        </w:rPr>
        <w:t>Pintura de ligação – RR.2C.</w:t>
      </w:r>
    </w:p>
    <w:p>
      <w:pPr>
        <w:pStyle w:val="9"/>
        <w:spacing w:after="0" w:line="240" w:lineRule="auto"/>
        <w:ind w:left="720"/>
        <w:jc w:val="both"/>
        <w:rPr>
          <w:rFonts w:ascii="Arial" w:hAnsi="Arial" w:eastAsia="Arial" w:cs="Arial"/>
          <w:bCs/>
        </w:rPr>
      </w:pPr>
      <w:r>
        <w:rPr>
          <w:rFonts w:ascii="Arial" w:hAnsi="Arial" w:eastAsia="Arial" w:cs="Arial"/>
          <w:bCs/>
        </w:rPr>
        <w:t>ET-DE-P00/020 – DER/SP</w:t>
      </w:r>
    </w:p>
    <w:p>
      <w:pPr>
        <w:pStyle w:val="9"/>
        <w:spacing w:after="0" w:line="240" w:lineRule="auto"/>
        <w:ind w:left="720"/>
        <w:jc w:val="both"/>
        <w:rPr>
          <w:rFonts w:ascii="Arial" w:hAnsi="Arial" w:eastAsia="Arial" w:cs="Arial"/>
          <w:bCs/>
        </w:rPr>
      </w:pPr>
    </w:p>
    <w:p>
      <w:pPr>
        <w:pStyle w:val="9"/>
        <w:numPr>
          <w:ilvl w:val="0"/>
          <w:numId w:val="3"/>
        </w:numPr>
        <w:spacing w:after="0" w:line="240" w:lineRule="auto"/>
        <w:jc w:val="both"/>
        <w:rPr>
          <w:rFonts w:ascii="Arial" w:hAnsi="Arial" w:eastAsia="Arial" w:cs="Arial"/>
          <w:bCs/>
        </w:rPr>
      </w:pPr>
      <w:r>
        <w:rPr>
          <w:rFonts w:ascii="Arial" w:hAnsi="Arial" w:eastAsia="Arial" w:cs="Arial"/>
          <w:bCs/>
        </w:rPr>
        <w:t>Concreto Asfáltico Modificado Com 15% em Peso de Borracha - h = 4,00 cm</w:t>
      </w:r>
    </w:p>
    <w:p>
      <w:pPr>
        <w:pStyle w:val="9"/>
        <w:spacing w:after="0" w:line="240" w:lineRule="auto"/>
        <w:ind w:left="720"/>
        <w:jc w:val="both"/>
        <w:rPr>
          <w:rFonts w:ascii="Arial" w:hAnsi="Arial" w:eastAsia="Arial" w:cs="Arial"/>
          <w:bCs/>
        </w:rPr>
      </w:pPr>
      <w:r>
        <w:rPr>
          <w:rFonts w:ascii="Arial" w:hAnsi="Arial" w:eastAsia="Arial" w:cs="Arial"/>
          <w:bCs/>
        </w:rPr>
        <w:t>ET-DE-P00/030 – DER/SP.</w:t>
      </w:r>
    </w:p>
    <w:p>
      <w:pPr>
        <w:pStyle w:val="9"/>
        <w:spacing w:after="0" w:line="240" w:lineRule="auto"/>
        <w:jc w:val="both"/>
        <w:rPr>
          <w:rFonts w:ascii="Arial" w:hAnsi="Arial" w:eastAsia="Arial" w:cs="Arial"/>
          <w:bCs/>
        </w:rPr>
      </w:pPr>
    </w:p>
    <w:p>
      <w:pPr>
        <w:pStyle w:val="9"/>
        <w:spacing w:after="0" w:line="240" w:lineRule="auto"/>
        <w:jc w:val="both"/>
        <w:rPr>
          <w:rFonts w:ascii="Arial" w:hAnsi="Arial" w:eastAsia="Arial" w:cs="Arial"/>
          <w:bCs/>
        </w:rPr>
      </w:pPr>
    </w:p>
    <w:p>
      <w:pPr>
        <w:pStyle w:val="9"/>
        <w:spacing w:after="0" w:line="240" w:lineRule="auto"/>
        <w:jc w:val="both"/>
        <w:rPr>
          <w:rFonts w:ascii="Arial" w:hAnsi="Arial" w:eastAsia="Arial" w:cs="Arial"/>
          <w:b/>
          <w:u w:val="single"/>
        </w:rPr>
      </w:pPr>
      <w:r>
        <w:rPr>
          <w:rFonts w:ascii="Arial" w:hAnsi="Arial" w:eastAsia="Arial" w:cs="Arial"/>
          <w:b/>
          <w:u w:val="single"/>
        </w:rPr>
        <w:t>Pavimento Tipo III</w:t>
      </w:r>
    </w:p>
    <w:p>
      <w:pPr>
        <w:pStyle w:val="9"/>
        <w:spacing w:after="0" w:line="240" w:lineRule="auto"/>
        <w:jc w:val="both"/>
        <w:rPr>
          <w:rFonts w:ascii="Arial" w:hAnsi="Arial" w:eastAsia="Arial" w:cs="Arial"/>
          <w:b/>
        </w:rPr>
      </w:pPr>
    </w:p>
    <w:p>
      <w:pPr>
        <w:pStyle w:val="9"/>
        <w:numPr>
          <w:ilvl w:val="0"/>
          <w:numId w:val="4"/>
        </w:numPr>
        <w:spacing w:after="0" w:line="240" w:lineRule="auto"/>
        <w:jc w:val="both"/>
        <w:rPr>
          <w:rFonts w:ascii="Arial" w:hAnsi="Arial" w:eastAsia="Arial" w:cs="Arial"/>
          <w:bCs/>
        </w:rPr>
      </w:pPr>
      <w:r>
        <w:rPr>
          <w:rFonts w:ascii="Arial" w:hAnsi="Arial" w:eastAsia="Arial" w:cs="Arial"/>
          <w:bCs/>
        </w:rPr>
        <w:t>Pintura de ligação – RR.2C.</w:t>
      </w:r>
    </w:p>
    <w:p>
      <w:pPr>
        <w:pStyle w:val="9"/>
        <w:numPr>
          <w:numId w:val="0"/>
        </w:numPr>
        <w:spacing w:after="0" w:line="240" w:lineRule="auto"/>
        <w:ind w:firstLine="708" w:firstLineChars="0"/>
        <w:jc w:val="both"/>
        <w:rPr>
          <w:rFonts w:ascii="Arial" w:hAnsi="Arial" w:eastAsia="Arial" w:cs="Arial"/>
          <w:bCs/>
        </w:rPr>
      </w:pPr>
      <w:r>
        <w:rPr>
          <w:rFonts w:ascii="Arial" w:hAnsi="Arial" w:eastAsia="Arial" w:cs="Arial"/>
          <w:bCs/>
        </w:rPr>
        <w:t>ET-DE-P00/020 – DER/SP</w:t>
      </w:r>
    </w:p>
    <w:p>
      <w:pPr>
        <w:pStyle w:val="9"/>
        <w:spacing w:after="0" w:line="240" w:lineRule="auto"/>
        <w:ind w:left="720"/>
        <w:jc w:val="both"/>
        <w:rPr>
          <w:rFonts w:ascii="Arial" w:hAnsi="Arial" w:eastAsia="Arial" w:cs="Arial"/>
          <w:bCs/>
        </w:rPr>
      </w:pPr>
    </w:p>
    <w:p>
      <w:pPr>
        <w:pStyle w:val="9"/>
        <w:numPr>
          <w:ilvl w:val="0"/>
          <w:numId w:val="3"/>
        </w:numPr>
        <w:spacing w:after="0" w:line="240" w:lineRule="auto"/>
        <w:jc w:val="both"/>
        <w:rPr>
          <w:rFonts w:ascii="Arial" w:hAnsi="Arial" w:eastAsia="Arial" w:cs="Arial"/>
          <w:bCs/>
        </w:rPr>
      </w:pPr>
      <w:r>
        <w:rPr>
          <w:rFonts w:ascii="Arial" w:hAnsi="Arial" w:eastAsia="Arial" w:cs="Arial"/>
          <w:bCs/>
        </w:rPr>
        <w:t xml:space="preserve">Camada de regularização c/ Concreto Asfáltico Modificado Com 15% em Peso de Borracha - h = </w:t>
      </w:r>
      <w:r>
        <w:rPr>
          <w:rFonts w:hint="default" w:ascii="Arial" w:hAnsi="Arial" w:eastAsia="Arial" w:cs="Arial"/>
          <w:bCs/>
          <w:lang w:val="pt-BR"/>
        </w:rPr>
        <w:t>3</w:t>
      </w:r>
      <w:r>
        <w:rPr>
          <w:rFonts w:ascii="Arial" w:hAnsi="Arial" w:eastAsia="Arial" w:cs="Arial"/>
          <w:bCs/>
        </w:rPr>
        <w:t>,00 cm</w:t>
      </w:r>
    </w:p>
    <w:p>
      <w:pPr>
        <w:pStyle w:val="9"/>
        <w:spacing w:after="0" w:line="240" w:lineRule="auto"/>
        <w:ind w:left="720"/>
        <w:jc w:val="both"/>
        <w:rPr>
          <w:rFonts w:ascii="Arial" w:hAnsi="Arial" w:eastAsia="Arial" w:cs="Arial"/>
          <w:bCs/>
        </w:rPr>
      </w:pPr>
      <w:r>
        <w:rPr>
          <w:rFonts w:ascii="Arial" w:hAnsi="Arial" w:eastAsia="Arial" w:cs="Arial"/>
          <w:bCs/>
        </w:rPr>
        <w:t>ET-DE-P00/030 – DER/SP.</w:t>
      </w:r>
    </w:p>
    <w:p>
      <w:pPr>
        <w:pStyle w:val="9"/>
        <w:spacing w:after="0" w:line="240" w:lineRule="auto"/>
        <w:ind w:left="720"/>
        <w:jc w:val="both"/>
        <w:rPr>
          <w:rFonts w:ascii="Arial" w:hAnsi="Arial" w:eastAsia="Arial" w:cs="Arial"/>
          <w:bCs/>
        </w:rPr>
      </w:pPr>
    </w:p>
    <w:p>
      <w:pPr>
        <w:pStyle w:val="9"/>
        <w:numPr>
          <w:ilvl w:val="0"/>
          <w:numId w:val="4"/>
        </w:numPr>
        <w:spacing w:after="0" w:line="240" w:lineRule="auto"/>
        <w:jc w:val="both"/>
        <w:rPr>
          <w:rFonts w:ascii="Arial" w:hAnsi="Arial" w:eastAsia="Arial" w:cs="Arial"/>
          <w:bCs/>
        </w:rPr>
      </w:pPr>
      <w:r>
        <w:rPr>
          <w:rFonts w:ascii="Arial" w:hAnsi="Arial" w:eastAsia="Arial" w:cs="Arial"/>
          <w:bCs/>
        </w:rPr>
        <w:t>Pintura de ligação – RR.2C.</w:t>
      </w:r>
    </w:p>
    <w:p>
      <w:pPr>
        <w:pStyle w:val="9"/>
        <w:numPr>
          <w:numId w:val="0"/>
        </w:numPr>
        <w:spacing w:after="0" w:line="240" w:lineRule="auto"/>
        <w:ind w:firstLine="708" w:firstLineChars="0"/>
        <w:jc w:val="both"/>
        <w:rPr>
          <w:rFonts w:ascii="Arial" w:hAnsi="Arial" w:eastAsia="Arial" w:cs="Arial"/>
          <w:bCs/>
        </w:rPr>
      </w:pPr>
      <w:bookmarkStart w:id="2" w:name="_GoBack"/>
      <w:bookmarkEnd w:id="2"/>
      <w:r>
        <w:rPr>
          <w:rFonts w:ascii="Arial" w:hAnsi="Arial" w:eastAsia="Arial" w:cs="Arial"/>
          <w:bCs/>
        </w:rPr>
        <w:t>ET-DE-P00/020 – DER/SP</w:t>
      </w:r>
    </w:p>
    <w:p>
      <w:pPr>
        <w:pStyle w:val="9"/>
        <w:spacing w:after="0" w:line="240" w:lineRule="auto"/>
        <w:ind w:left="720"/>
        <w:jc w:val="both"/>
        <w:rPr>
          <w:rFonts w:ascii="Arial" w:hAnsi="Arial" w:eastAsia="Arial" w:cs="Arial"/>
          <w:bCs/>
        </w:rPr>
      </w:pPr>
    </w:p>
    <w:p>
      <w:pPr>
        <w:pStyle w:val="9"/>
        <w:numPr>
          <w:ilvl w:val="0"/>
          <w:numId w:val="3"/>
        </w:numPr>
        <w:spacing w:after="0" w:line="240" w:lineRule="auto"/>
        <w:jc w:val="both"/>
        <w:rPr>
          <w:rFonts w:ascii="Arial" w:hAnsi="Arial" w:eastAsia="Arial" w:cs="Arial"/>
          <w:bCs/>
        </w:rPr>
      </w:pPr>
      <w:r>
        <w:rPr>
          <w:rFonts w:ascii="Arial" w:hAnsi="Arial" w:eastAsia="Arial" w:cs="Arial"/>
          <w:bCs/>
        </w:rPr>
        <w:t xml:space="preserve">Concreto Asfáltico Modificado Com 15% em Peso de Borracha - h = </w:t>
      </w:r>
      <w:r>
        <w:rPr>
          <w:rFonts w:hint="default" w:ascii="Arial" w:hAnsi="Arial" w:eastAsia="Arial" w:cs="Arial"/>
          <w:bCs/>
          <w:lang w:val="pt-BR"/>
        </w:rPr>
        <w:t>3</w:t>
      </w:r>
      <w:r>
        <w:rPr>
          <w:rFonts w:ascii="Arial" w:hAnsi="Arial" w:eastAsia="Arial" w:cs="Arial"/>
          <w:bCs/>
        </w:rPr>
        <w:t>,00 cm</w:t>
      </w:r>
    </w:p>
    <w:p>
      <w:pPr>
        <w:pStyle w:val="9"/>
        <w:spacing w:after="0" w:line="240" w:lineRule="auto"/>
        <w:ind w:left="720"/>
        <w:jc w:val="both"/>
        <w:rPr>
          <w:rFonts w:ascii="Arial" w:hAnsi="Arial" w:eastAsia="Arial" w:cs="Arial"/>
          <w:bCs/>
        </w:rPr>
      </w:pPr>
      <w:r>
        <w:rPr>
          <w:rFonts w:ascii="Arial" w:hAnsi="Arial" w:eastAsia="Arial" w:cs="Arial"/>
          <w:bCs/>
        </w:rPr>
        <w:t>ET-DE-P00/030 – DER/SP.</w:t>
      </w:r>
    </w:p>
    <w:p>
      <w:pPr>
        <w:pStyle w:val="9"/>
        <w:numPr>
          <w:ilvl w:val="1"/>
          <w:numId w:val="4"/>
        </w:numPr>
        <w:tabs>
          <w:tab w:val="center" w:pos="4612"/>
        </w:tabs>
        <w:spacing w:after="0" w:line="240" w:lineRule="auto"/>
        <w:jc w:val="both"/>
        <w:rPr>
          <w:rFonts w:ascii="Arial" w:hAnsi="Arial" w:eastAsia="Arial" w:cs="Arial"/>
          <w:bCs/>
        </w:rPr>
      </w:pPr>
      <w:r>
        <w:rPr>
          <w:rFonts w:ascii="Arial" w:hAnsi="Arial" w:eastAsia="Arial" w:cs="Arial"/>
          <w:bCs/>
        </w:rPr>
        <w:tab/>
      </w:r>
    </w:p>
    <w:p>
      <w:pPr>
        <w:pStyle w:val="9"/>
        <w:tabs>
          <w:tab w:val="center" w:pos="4612"/>
        </w:tabs>
        <w:spacing w:after="0" w:line="240" w:lineRule="auto"/>
        <w:ind w:left="1440"/>
        <w:jc w:val="both"/>
        <w:rPr>
          <w:rFonts w:ascii="Arial" w:hAnsi="Arial" w:eastAsia="Arial" w:cs="Arial"/>
          <w:bCs/>
        </w:rPr>
      </w:pPr>
    </w:p>
    <w:p>
      <w:pPr>
        <w:pStyle w:val="9"/>
        <w:tabs>
          <w:tab w:val="center" w:pos="4612"/>
        </w:tabs>
        <w:spacing w:after="0" w:line="240" w:lineRule="auto"/>
        <w:ind w:left="720"/>
        <w:jc w:val="both"/>
        <w:rPr>
          <w:rFonts w:ascii="Arial" w:hAnsi="Arial" w:eastAsia="Arial" w:cs="Arial"/>
          <w:bCs/>
        </w:rPr>
      </w:pPr>
    </w:p>
    <w:p>
      <w:pPr>
        <w:pStyle w:val="9"/>
        <w:tabs>
          <w:tab w:val="center" w:pos="4612"/>
        </w:tabs>
        <w:spacing w:after="0" w:line="240" w:lineRule="auto"/>
        <w:ind w:left="720"/>
        <w:jc w:val="both"/>
        <w:rPr>
          <w:rFonts w:ascii="Arial" w:hAnsi="Arial" w:eastAsia="Arial" w:cs="Arial"/>
          <w:bCs/>
        </w:rPr>
      </w:pPr>
    </w:p>
    <w:p>
      <w:pPr>
        <w:pStyle w:val="9"/>
        <w:spacing w:after="0" w:line="240" w:lineRule="auto"/>
        <w:ind w:left="720"/>
        <w:jc w:val="both"/>
        <w:rPr>
          <w:rFonts w:ascii="Arial" w:hAnsi="Arial" w:eastAsia="Arial" w:cs="Arial"/>
          <w:bCs/>
        </w:rPr>
      </w:pPr>
    </w:p>
    <w:p>
      <w:pPr>
        <w:pStyle w:val="9"/>
        <w:spacing w:after="0" w:line="240" w:lineRule="auto"/>
        <w:jc w:val="both"/>
        <w:rPr>
          <w:rFonts w:ascii="Arial" w:hAnsi="Arial" w:eastAsia="Arial" w:cs="Arial"/>
          <w:bCs/>
        </w:rPr>
      </w:pPr>
    </w:p>
    <w:p>
      <w:pPr>
        <w:pStyle w:val="9"/>
        <w:spacing w:after="0" w:line="240" w:lineRule="auto"/>
        <w:jc w:val="both"/>
        <w:rPr>
          <w:rFonts w:ascii="Arial" w:hAnsi="Arial" w:eastAsia="Arial" w:cs="Arial"/>
          <w:b/>
          <w:u w:val="single"/>
        </w:rPr>
      </w:pPr>
      <w:bookmarkStart w:id="0" w:name="_Hlk149077239"/>
      <w:r>
        <w:rPr>
          <w:rFonts w:ascii="Arial" w:hAnsi="Arial" w:eastAsia="Arial" w:cs="Arial"/>
          <w:b/>
          <w:u w:val="single"/>
        </w:rPr>
        <w:t>Pavimento Tipo IV</w:t>
      </w:r>
    </w:p>
    <w:p>
      <w:pPr>
        <w:pStyle w:val="9"/>
        <w:spacing w:after="0" w:line="240" w:lineRule="auto"/>
        <w:ind w:left="720"/>
        <w:jc w:val="both"/>
        <w:rPr>
          <w:rFonts w:ascii="Arial" w:hAnsi="Arial" w:eastAsia="Arial" w:cs="Arial"/>
          <w:bCs/>
        </w:rPr>
      </w:pPr>
    </w:p>
    <w:p>
      <w:pPr>
        <w:pStyle w:val="9"/>
        <w:numPr>
          <w:ilvl w:val="0"/>
          <w:numId w:val="3"/>
        </w:numPr>
        <w:spacing w:after="0" w:line="240" w:lineRule="auto"/>
        <w:jc w:val="both"/>
        <w:rPr>
          <w:rFonts w:ascii="Arial" w:hAnsi="Arial" w:eastAsia="Arial" w:cs="Arial"/>
          <w:bCs/>
        </w:rPr>
      </w:pPr>
      <w:r>
        <w:rPr>
          <w:rFonts w:ascii="Arial" w:hAnsi="Arial" w:eastAsia="Arial" w:cs="Arial"/>
          <w:bCs/>
        </w:rPr>
        <w:t>Pintura de ligação – RR.2C.</w:t>
      </w:r>
    </w:p>
    <w:p>
      <w:pPr>
        <w:pStyle w:val="9"/>
        <w:spacing w:after="0" w:line="240" w:lineRule="auto"/>
        <w:ind w:left="720"/>
        <w:jc w:val="both"/>
        <w:rPr>
          <w:rFonts w:ascii="Arial" w:hAnsi="Arial" w:eastAsia="Arial" w:cs="Arial"/>
          <w:bCs/>
        </w:rPr>
      </w:pPr>
      <w:r>
        <w:rPr>
          <w:rFonts w:ascii="Arial" w:hAnsi="Arial" w:eastAsia="Arial" w:cs="Arial"/>
          <w:bCs/>
        </w:rPr>
        <w:t>ET-DE-P00/020 – DER/SP</w:t>
      </w:r>
    </w:p>
    <w:p>
      <w:pPr>
        <w:pStyle w:val="9"/>
        <w:spacing w:after="0" w:line="240" w:lineRule="auto"/>
        <w:ind w:left="720"/>
        <w:jc w:val="both"/>
        <w:rPr>
          <w:rFonts w:ascii="Arial" w:hAnsi="Arial" w:eastAsia="Arial" w:cs="Arial"/>
          <w:bCs/>
        </w:rPr>
      </w:pPr>
    </w:p>
    <w:p>
      <w:pPr>
        <w:pStyle w:val="9"/>
        <w:numPr>
          <w:ilvl w:val="0"/>
          <w:numId w:val="3"/>
        </w:numPr>
        <w:spacing w:after="0" w:line="240" w:lineRule="auto"/>
        <w:jc w:val="both"/>
        <w:rPr>
          <w:rFonts w:ascii="Arial" w:hAnsi="Arial" w:eastAsia="Arial" w:cs="Arial"/>
          <w:bCs/>
        </w:rPr>
      </w:pPr>
      <w:bookmarkStart w:id="1" w:name="_Hlk149077222"/>
      <w:r>
        <w:rPr>
          <w:rFonts w:ascii="Arial" w:hAnsi="Arial" w:eastAsia="Arial" w:cs="Arial"/>
          <w:bCs/>
        </w:rPr>
        <w:t>Concreto Asfáltico Modificado Com 15% em Peso de Borracha - h = 4,00 cm</w:t>
      </w:r>
    </w:p>
    <w:p>
      <w:pPr>
        <w:pStyle w:val="9"/>
        <w:spacing w:after="0" w:line="240" w:lineRule="auto"/>
        <w:ind w:left="720"/>
        <w:jc w:val="both"/>
        <w:rPr>
          <w:rFonts w:ascii="Arial" w:hAnsi="Arial" w:eastAsia="Arial" w:cs="Arial"/>
          <w:bCs/>
        </w:rPr>
      </w:pPr>
      <w:r>
        <w:rPr>
          <w:rFonts w:ascii="Arial" w:hAnsi="Arial" w:eastAsia="Arial" w:cs="Arial"/>
          <w:bCs/>
        </w:rPr>
        <w:t>ET-DE-P00/030 – DER/SP.</w:t>
      </w:r>
    </w:p>
    <w:bookmarkEnd w:id="0"/>
    <w:bookmarkEnd w:id="1"/>
    <w:p>
      <w:pPr>
        <w:pStyle w:val="9"/>
        <w:spacing w:after="0" w:line="240" w:lineRule="auto"/>
        <w:jc w:val="both"/>
        <w:rPr>
          <w:rFonts w:ascii="Arial" w:hAnsi="Arial" w:eastAsia="Arial" w:cs="Arial"/>
          <w:bCs/>
        </w:rPr>
      </w:pPr>
    </w:p>
    <w:p>
      <w:pPr>
        <w:pStyle w:val="9"/>
        <w:spacing w:after="0" w:line="240" w:lineRule="auto"/>
        <w:ind w:left="720"/>
        <w:jc w:val="both"/>
        <w:rPr>
          <w:rFonts w:ascii="Arial" w:hAnsi="Arial" w:eastAsia="Arial" w:cs="Arial"/>
          <w:bCs/>
        </w:rPr>
      </w:pPr>
    </w:p>
    <w:p>
      <w:pPr>
        <w:pStyle w:val="9"/>
        <w:jc w:val="both"/>
        <w:rPr>
          <w:rFonts w:ascii="Arial" w:hAnsi="Arial"/>
          <w:bCs/>
        </w:rPr>
      </w:pPr>
      <w:r>
        <w:rPr>
          <w:rFonts w:ascii="Arial" w:hAnsi="Arial"/>
          <w:bCs/>
        </w:rPr>
        <w:t xml:space="preserve">O detalhamento de cada </w:t>
      </w:r>
      <w:r>
        <w:rPr>
          <w:rFonts w:ascii="Arial" w:hAnsi="Arial"/>
          <w:b/>
        </w:rPr>
        <w:t>Projeto-Tipo</w:t>
      </w:r>
      <w:r>
        <w:rPr>
          <w:rFonts w:ascii="Arial" w:hAnsi="Arial"/>
          <w:bCs/>
        </w:rPr>
        <w:t xml:space="preserve"> está descrito no </w:t>
      </w:r>
      <w:r>
        <w:rPr>
          <w:rFonts w:ascii="Arial" w:hAnsi="Arial"/>
          <w:b/>
        </w:rPr>
        <w:t>Anexo C</w:t>
      </w:r>
      <w:r>
        <w:rPr>
          <w:rFonts w:ascii="Arial" w:hAnsi="Arial"/>
          <w:bCs/>
        </w:rPr>
        <w:t>.</w:t>
      </w:r>
    </w:p>
    <w:p>
      <w:pPr>
        <w:pStyle w:val="9"/>
        <w:jc w:val="both"/>
        <w:rPr>
          <w:rFonts w:ascii="Arial" w:hAnsi="Arial"/>
          <w:b/>
        </w:rPr>
      </w:pPr>
      <w:r>
        <w:rPr>
          <w:rFonts w:ascii="Arial" w:hAnsi="Arial"/>
          <w:bCs/>
        </w:rPr>
        <w:t xml:space="preserve">Anexo, relação das ruas e respectivas soluções de restauração. </w:t>
      </w:r>
      <w:r>
        <w:rPr>
          <w:rFonts w:ascii="Arial" w:hAnsi="Arial"/>
          <w:b/>
        </w:rPr>
        <w:t>ANEXOS A E B</w:t>
      </w:r>
    </w:p>
    <w:p>
      <w:pPr>
        <w:pStyle w:val="11"/>
        <w:spacing w:before="57" w:after="57" w:line="360" w:lineRule="auto"/>
        <w:jc w:val="both"/>
        <w:rPr>
          <w:rFonts w:ascii="Arial" w:hAnsi="Arial" w:eastAsia="Arial" w:cs="Arial"/>
          <w:sz w:val="22"/>
          <w:szCs w:val="22"/>
        </w:rPr>
      </w:pPr>
      <w:r>
        <w:rPr>
          <w:rFonts w:ascii="Arial" w:hAnsi="Arial" w:eastAsia="Arial" w:cs="Arial"/>
          <w:sz w:val="22"/>
          <w:szCs w:val="22"/>
        </w:rPr>
        <w:t>Deverá ocorrer o levantamento de todo tampão de poço de visita existente, para que não exista desnível entre ele e a via.</w:t>
      </w:r>
    </w:p>
    <w:p>
      <w:pPr>
        <w:pStyle w:val="11"/>
        <w:spacing w:before="57" w:after="57" w:line="360" w:lineRule="auto"/>
        <w:jc w:val="both"/>
        <w:rPr>
          <w:rFonts w:ascii="Arial" w:hAnsi="Arial" w:eastAsia="Arial" w:cs="Arial"/>
          <w:sz w:val="22"/>
          <w:szCs w:val="22"/>
        </w:rPr>
      </w:pPr>
      <w:r>
        <w:rPr>
          <w:rFonts w:ascii="Arial" w:hAnsi="Arial" w:eastAsia="Arial" w:cs="Arial"/>
          <w:sz w:val="22"/>
          <w:szCs w:val="22"/>
        </w:rPr>
        <w:t>Deverão ser instaladas as placas de obra, nas quantidades constantes da planilha orçamentária, em locais determinados pela fiscalização.</w:t>
      </w:r>
    </w:p>
    <w:p>
      <w:pPr>
        <w:pStyle w:val="11"/>
        <w:spacing w:before="57" w:after="57" w:line="360" w:lineRule="auto"/>
        <w:jc w:val="both"/>
        <w:rPr>
          <w:rFonts w:ascii="Arial" w:hAnsi="Arial" w:eastAsia="Arial" w:cs="Arial"/>
          <w:sz w:val="22"/>
          <w:szCs w:val="22"/>
        </w:rPr>
      </w:pPr>
      <w:r>
        <w:rPr>
          <w:rFonts w:ascii="Arial" w:hAnsi="Arial" w:eastAsia="Arial" w:cs="Arial"/>
          <w:sz w:val="22"/>
          <w:szCs w:val="22"/>
        </w:rPr>
        <w:t>A CONTRATADA deverá apresentar antes do início dos serviços, os traços das misturas usinadas, para análise e posterior aprovação.</w:t>
      </w:r>
    </w:p>
    <w:p>
      <w:pPr>
        <w:pStyle w:val="9"/>
        <w:spacing w:after="0" w:line="240" w:lineRule="auto"/>
        <w:jc w:val="both"/>
        <w:rPr>
          <w:rFonts w:eastAsia="Arial" w:cs="Arial"/>
        </w:rPr>
      </w:pPr>
    </w:p>
    <w:p>
      <w:pPr>
        <w:pStyle w:val="9"/>
        <w:spacing w:after="0" w:line="240" w:lineRule="auto"/>
        <w:jc w:val="both"/>
        <w:rPr>
          <w:rFonts w:ascii="Arial" w:hAnsi="Arial"/>
        </w:rPr>
      </w:pPr>
      <w:r>
        <w:rPr>
          <w:rFonts w:ascii="Arial" w:hAnsi="Arial" w:eastAsia="Arial" w:cs="Arial"/>
        </w:rPr>
        <w:t xml:space="preserve">A CONTRATADA deverá disponibilizar pessoal, equipamentos, veículos, ferramentas e o que mais se fizer necessário para a execução integral dos serviços, devendo os equipamentos, combustível, veículos e ferramentas estar em perfeitas condições de limpeza, uso e manutenção, obrigando-se a CONTRATADA a substituir aqueles que não atenderem às exigências. </w:t>
      </w:r>
    </w:p>
    <w:p>
      <w:pPr>
        <w:pStyle w:val="9"/>
        <w:spacing w:after="0" w:line="240" w:lineRule="auto"/>
        <w:ind w:left="360"/>
        <w:jc w:val="both"/>
        <w:rPr>
          <w:rFonts w:ascii="Arial" w:hAnsi="Arial"/>
        </w:rPr>
      </w:pPr>
    </w:p>
    <w:p>
      <w:pPr>
        <w:pStyle w:val="9"/>
        <w:spacing w:after="0" w:line="240" w:lineRule="auto"/>
        <w:jc w:val="both"/>
        <w:rPr>
          <w:rFonts w:ascii="Arial" w:hAnsi="Arial"/>
        </w:rPr>
      </w:pPr>
      <w:r>
        <w:rPr>
          <w:rFonts w:ascii="Arial" w:hAnsi="Arial"/>
        </w:rPr>
        <w:t xml:space="preserve">       São Eles:</w:t>
      </w:r>
    </w:p>
    <w:p>
      <w:pPr>
        <w:pStyle w:val="9"/>
        <w:spacing w:after="0" w:line="240" w:lineRule="auto"/>
        <w:jc w:val="both"/>
        <w:rPr>
          <w:rFonts w:ascii="Arial" w:hAnsi="Arial"/>
        </w:rPr>
      </w:pPr>
      <w:r>
        <w:rPr>
          <w:rFonts w:ascii="Arial" w:hAnsi="Arial"/>
        </w:rPr>
        <w:t xml:space="preserve">       </w:t>
      </w:r>
    </w:p>
    <w:p>
      <w:pPr>
        <w:pStyle w:val="9"/>
        <w:numPr>
          <w:ilvl w:val="0"/>
          <w:numId w:val="5"/>
        </w:numPr>
        <w:spacing w:after="0" w:line="240" w:lineRule="auto"/>
        <w:jc w:val="both"/>
        <w:rPr>
          <w:rFonts w:ascii="Arial" w:hAnsi="Arial"/>
        </w:rPr>
      </w:pPr>
      <w:r>
        <w:rPr>
          <w:rFonts w:ascii="Arial" w:hAnsi="Arial"/>
        </w:rPr>
        <w:t>Caminhões tipo basculante, para a remoção e transporte do material fresado e outros removidos do local, dotados de lona para cobertura da caçamba após carregamento;</w:t>
      </w:r>
    </w:p>
    <w:p>
      <w:pPr>
        <w:pStyle w:val="9"/>
        <w:spacing w:after="0" w:line="240" w:lineRule="auto"/>
        <w:ind w:firstLine="360"/>
        <w:jc w:val="both"/>
        <w:rPr>
          <w:rFonts w:ascii="Arial" w:hAnsi="Arial"/>
        </w:rPr>
      </w:pPr>
    </w:p>
    <w:p>
      <w:pPr>
        <w:pStyle w:val="9"/>
        <w:numPr>
          <w:ilvl w:val="0"/>
          <w:numId w:val="5"/>
        </w:numPr>
        <w:spacing w:after="0" w:line="240" w:lineRule="auto"/>
        <w:jc w:val="both"/>
        <w:rPr>
          <w:rFonts w:ascii="Arial" w:hAnsi="Arial"/>
        </w:rPr>
      </w:pPr>
      <w:r>
        <w:rPr>
          <w:rFonts w:ascii="Arial" w:hAnsi="Arial"/>
        </w:rPr>
        <w:t>Fresadora automotora com largura de fresagem 1.000mm, profundidade de corte regulável, tambor fresador com suporte para troca rápida, capacidade produtiva mínima de 480m²/h</w:t>
      </w:r>
    </w:p>
    <w:p>
      <w:pPr>
        <w:pStyle w:val="9"/>
        <w:spacing w:after="0" w:line="240" w:lineRule="auto"/>
        <w:ind w:firstLine="360"/>
        <w:jc w:val="both"/>
        <w:rPr>
          <w:rFonts w:ascii="Arial" w:hAnsi="Arial"/>
        </w:rPr>
      </w:pPr>
    </w:p>
    <w:p>
      <w:pPr>
        <w:pStyle w:val="9"/>
        <w:numPr>
          <w:ilvl w:val="0"/>
          <w:numId w:val="5"/>
        </w:numPr>
        <w:spacing w:after="0" w:line="240" w:lineRule="auto"/>
        <w:jc w:val="both"/>
        <w:rPr>
          <w:rFonts w:ascii="Arial" w:hAnsi="Arial"/>
        </w:rPr>
      </w:pPr>
      <w:r>
        <w:rPr>
          <w:rFonts w:ascii="Arial" w:hAnsi="Arial"/>
        </w:rPr>
        <w:t>Minicarregadeira c/ implemento Vassoura Mecanizada</w:t>
      </w:r>
    </w:p>
    <w:p>
      <w:pPr>
        <w:pStyle w:val="9"/>
        <w:spacing w:after="0" w:line="240" w:lineRule="auto"/>
        <w:ind w:firstLine="360"/>
        <w:jc w:val="both"/>
        <w:rPr>
          <w:rFonts w:ascii="Arial" w:hAnsi="Arial"/>
        </w:rPr>
      </w:pPr>
    </w:p>
    <w:p>
      <w:pPr>
        <w:pStyle w:val="9"/>
        <w:numPr>
          <w:ilvl w:val="0"/>
          <w:numId w:val="5"/>
        </w:numPr>
        <w:spacing w:after="0" w:line="240" w:lineRule="auto"/>
        <w:jc w:val="both"/>
        <w:rPr>
          <w:rFonts w:ascii="Arial" w:hAnsi="Arial"/>
        </w:rPr>
      </w:pPr>
      <w:r>
        <w:rPr>
          <w:rFonts w:ascii="Arial" w:hAnsi="Arial"/>
        </w:rPr>
        <w:t>Veículo espargidor equipado com bomba reguladora de pressão e sistema completo de aquecimento, barra de distribuição com circulação plena dotada de dispositivo para regulagem horizontal e vertical, bicos de distribuição calibradores para aspersão em leque, tacômetros, manômetros e termômetros de fácil leitura, e para lugares inacessíveis a barra, mangueira de operação manual com bico de aspersão em leque; CA Espargidor c/ Tanque 6000 litros.</w:t>
      </w:r>
    </w:p>
    <w:p>
      <w:pPr>
        <w:pStyle w:val="9"/>
        <w:spacing w:after="0" w:line="240" w:lineRule="auto"/>
        <w:ind w:firstLine="435"/>
        <w:jc w:val="both"/>
        <w:rPr>
          <w:rFonts w:ascii="Arial" w:hAnsi="Arial"/>
        </w:rPr>
      </w:pPr>
    </w:p>
    <w:p>
      <w:pPr>
        <w:pStyle w:val="9"/>
        <w:numPr>
          <w:ilvl w:val="0"/>
          <w:numId w:val="5"/>
        </w:numPr>
        <w:spacing w:after="0" w:line="240" w:lineRule="auto"/>
        <w:jc w:val="both"/>
        <w:rPr>
          <w:rFonts w:ascii="Arial" w:hAnsi="Arial"/>
        </w:rPr>
      </w:pPr>
      <w:r>
        <w:rPr>
          <w:rFonts w:ascii="Arial" w:hAnsi="Arial"/>
        </w:rPr>
        <w:t>Os equipamentos para espalhamento e acabamento deverão ser Vibro-acabadoras automotrizes, capazes de espalhar e conformar a mistura no alinhamento, cotas e abaulamentos requeridos. As vibro-acabadoras deverão ser com parafusos sem fim, para colocar a mistura exatamente nas faixas, e possuir dispositivos rápidos e eficientes de direção, além de marchas para frente e para trás. As vibro acabadoras deverão ser equipadas com alisadores e dispositivos para aquecimento, à temperatura requerida, para a colocação da mistura sem irregularidade;</w:t>
      </w:r>
    </w:p>
    <w:p>
      <w:pPr>
        <w:pStyle w:val="9"/>
        <w:spacing w:after="0" w:line="240" w:lineRule="auto"/>
        <w:ind w:firstLine="360"/>
        <w:jc w:val="both"/>
        <w:rPr>
          <w:rFonts w:ascii="Arial" w:hAnsi="Arial"/>
        </w:rPr>
      </w:pPr>
    </w:p>
    <w:p>
      <w:pPr>
        <w:pStyle w:val="9"/>
        <w:numPr>
          <w:ilvl w:val="0"/>
          <w:numId w:val="5"/>
        </w:numPr>
        <w:spacing w:after="0" w:line="240" w:lineRule="auto"/>
        <w:jc w:val="both"/>
        <w:rPr>
          <w:rFonts w:ascii="Arial" w:hAnsi="Arial"/>
        </w:rPr>
      </w:pPr>
      <w:r>
        <w:rPr>
          <w:rFonts w:ascii="Arial" w:hAnsi="Arial"/>
        </w:rPr>
        <w:t>Rolos compressores, pneumáticos e rolo metálico liso, tipo Tandem ou rolo vibratório. Os rolos pneumáticos, autopropulsores, deverão ser dotados de dispositivos que permitam a calibragem de variação da pressão dos pneus de 0,25 a 0,84MPa (35 a 120 psi). O equipamento em operação deve ser suficiente para comprimir a mistura à densidade requerida, enquanto esta se encontra em condições de operacionalidade.</w:t>
      </w:r>
    </w:p>
    <w:p>
      <w:pPr>
        <w:pStyle w:val="9"/>
        <w:spacing w:after="0" w:line="240" w:lineRule="auto"/>
        <w:ind w:firstLine="435"/>
        <w:jc w:val="both"/>
        <w:rPr>
          <w:rFonts w:ascii="Arial" w:hAnsi="Arial"/>
        </w:rPr>
      </w:pPr>
    </w:p>
    <w:p>
      <w:pPr>
        <w:pStyle w:val="9"/>
        <w:spacing w:after="0" w:line="240" w:lineRule="auto"/>
        <w:jc w:val="both"/>
        <w:rPr>
          <w:rFonts w:ascii="Arial" w:hAnsi="Arial"/>
        </w:rPr>
      </w:pPr>
      <w:r>
        <w:rPr>
          <w:rFonts w:ascii="Arial" w:hAnsi="Arial" w:eastAsia="Arial" w:cs="Arial"/>
        </w:rPr>
        <w:t>O pessoal e os equipamentos mínimos necessários para a execução dos serviços estimados deverão ser em quantidade suficiente para atender a quantidade de serviços a serem executados.</w:t>
      </w:r>
    </w:p>
    <w:p>
      <w:pPr>
        <w:pStyle w:val="9"/>
        <w:spacing w:after="0" w:line="240" w:lineRule="auto"/>
        <w:jc w:val="both"/>
        <w:rPr>
          <w:rFonts w:eastAsia="Arial" w:cs="Arial"/>
          <w:lang w:eastAsia="en-US" w:bidi="ar-SA"/>
        </w:rPr>
      </w:pPr>
    </w:p>
    <w:p>
      <w:pPr>
        <w:pStyle w:val="9"/>
        <w:spacing w:after="0" w:line="240" w:lineRule="auto"/>
        <w:jc w:val="both"/>
        <w:rPr>
          <w:rFonts w:ascii="Arial" w:hAnsi="Arial"/>
        </w:rPr>
      </w:pPr>
      <w:r>
        <w:rPr>
          <w:rFonts w:ascii="Arial" w:hAnsi="Arial" w:eastAsia="Arial" w:cs="Arial"/>
          <w:lang w:eastAsia="en-US" w:bidi="ar-SA"/>
        </w:rPr>
        <w:t>Os veículos/equipamentos deverão atender às normas exigidas pela legislação de trânsito.</w:t>
      </w:r>
    </w:p>
    <w:p>
      <w:pPr>
        <w:pStyle w:val="9"/>
        <w:spacing w:after="0" w:line="240" w:lineRule="auto"/>
        <w:jc w:val="both"/>
        <w:rPr>
          <w:rFonts w:ascii="Arial" w:hAnsi="Arial" w:eastAsia="Arial" w:cs="Arial"/>
        </w:rPr>
      </w:pPr>
    </w:p>
    <w:p>
      <w:pPr>
        <w:jc w:val="both"/>
      </w:pPr>
    </w:p>
    <w:sectPr>
      <w:headerReference r:id="rId5" w:type="default"/>
      <w:footerReference r:id="rId6" w:type="default"/>
      <w:pgSz w:w="11906" w:h="16838"/>
      <w:pgMar w:top="1417" w:right="1701" w:bottom="1417" w:left="1701" w:header="0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nduit ITC Light;Conduit ITC L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spacing w:before="100" w:beforeAutospacing="1"/>
      <w:ind w:right="113"/>
    </w:pPr>
    <w:r>
      <w:drawing>
        <wp:inline distT="0" distB="0" distL="0" distR="0">
          <wp:extent cx="5400040" cy="859790"/>
          <wp:effectExtent l="0" t="0" r="0" b="0"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m 3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400040" cy="8597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left="-1474" w:right="-170"/>
    </w:pPr>
    <w:r>
      <w:drawing>
        <wp:inline distT="0" distB="0" distL="0" distR="0">
          <wp:extent cx="5400040" cy="1356360"/>
          <wp:effectExtent l="0" t="0" r="0" b="0"/>
          <wp:docPr id="7" name="Imagem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m 7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400040" cy="135636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5784A0F"/>
    <w:multiLevelType w:val="singleLevel"/>
    <w:tmpl w:val="05784A0F"/>
    <w:lvl w:ilvl="0" w:tentative="0">
      <w:start w:val="1"/>
      <w:numFmt w:val="bullet"/>
      <w:lvlText w:val=""/>
      <w:lvlJc w:val="left"/>
      <w:pPr>
        <w:tabs>
          <w:tab w:val="left" w:pos="420"/>
        </w:tabs>
        <w:ind w:left="420" w:hanging="420"/>
      </w:pPr>
      <w:rPr>
        <w:rFonts w:hint="default" w:ascii="Wingdings" w:hAnsi="Wingdings"/>
      </w:rPr>
    </w:lvl>
  </w:abstractNum>
  <w:abstractNum w:abstractNumId="1">
    <w:nsid w:val="23EE255C"/>
    <w:multiLevelType w:val="multilevel"/>
    <w:tmpl w:val="23EE255C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>
    <w:nsid w:val="24EA6E32"/>
    <w:multiLevelType w:val="multilevel"/>
    <w:tmpl w:val="24EA6E32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>
    <w:nsid w:val="48801AC4"/>
    <w:multiLevelType w:val="multilevel"/>
    <w:tmpl w:val="48801AC4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>
    <w:nsid w:val="52EF55DA"/>
    <w:multiLevelType w:val="multilevel"/>
    <w:tmpl w:val="52EF55DA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6"/>
  <w:documentProtection w:enforcement="0"/>
  <w:defaultTabStop w:val="708"/>
  <w:hyphenationZone w:val="425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7375"/>
    <w:rsid w:val="000136D9"/>
    <w:rsid w:val="00034AD2"/>
    <w:rsid w:val="000764BE"/>
    <w:rsid w:val="000D1BB1"/>
    <w:rsid w:val="00185FAC"/>
    <w:rsid w:val="001E737D"/>
    <w:rsid w:val="00201C14"/>
    <w:rsid w:val="00275C11"/>
    <w:rsid w:val="00294D15"/>
    <w:rsid w:val="003D0B12"/>
    <w:rsid w:val="0042503E"/>
    <w:rsid w:val="0052188D"/>
    <w:rsid w:val="005A2752"/>
    <w:rsid w:val="005D6C36"/>
    <w:rsid w:val="005E7EDC"/>
    <w:rsid w:val="006244DC"/>
    <w:rsid w:val="00653A05"/>
    <w:rsid w:val="0065781F"/>
    <w:rsid w:val="006D36CC"/>
    <w:rsid w:val="007056AC"/>
    <w:rsid w:val="0071433A"/>
    <w:rsid w:val="007567F0"/>
    <w:rsid w:val="007F7375"/>
    <w:rsid w:val="00807B86"/>
    <w:rsid w:val="008A286E"/>
    <w:rsid w:val="00925B9A"/>
    <w:rsid w:val="009D0C37"/>
    <w:rsid w:val="00A06660"/>
    <w:rsid w:val="00A1233D"/>
    <w:rsid w:val="00A137FB"/>
    <w:rsid w:val="00A31B97"/>
    <w:rsid w:val="00A47F2B"/>
    <w:rsid w:val="00A51071"/>
    <w:rsid w:val="00A67CD8"/>
    <w:rsid w:val="00A83C31"/>
    <w:rsid w:val="00B40980"/>
    <w:rsid w:val="00BA516A"/>
    <w:rsid w:val="00BB4CF3"/>
    <w:rsid w:val="00D401CD"/>
    <w:rsid w:val="00D41B8C"/>
    <w:rsid w:val="00D735AF"/>
    <w:rsid w:val="00DB00DC"/>
    <w:rsid w:val="00DD5B25"/>
    <w:rsid w:val="00E90553"/>
    <w:rsid w:val="00EC4D62"/>
    <w:rsid w:val="00F1136D"/>
    <w:rsid w:val="00F1694F"/>
    <w:rsid w:val="00F44EB3"/>
    <w:rsid w:val="11ED255B"/>
    <w:rsid w:val="1E042045"/>
    <w:rsid w:val="21CE6530"/>
    <w:rsid w:val="25487473"/>
    <w:rsid w:val="59044754"/>
    <w:rsid w:val="63106EC5"/>
    <w:rsid w:val="7AA40E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pt-BR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header"/>
    <w:basedOn w:val="1"/>
    <w:link w:val="7"/>
    <w:unhideWhenUsed/>
    <w:qFormat/>
    <w:uiPriority w:val="99"/>
    <w:pPr>
      <w:tabs>
        <w:tab w:val="center" w:pos="4252"/>
        <w:tab w:val="right" w:pos="8504"/>
      </w:tabs>
      <w:spacing w:after="0" w:line="240" w:lineRule="auto"/>
    </w:pPr>
  </w:style>
  <w:style w:type="paragraph" w:styleId="5">
    <w:name w:val="footer"/>
    <w:basedOn w:val="1"/>
    <w:link w:val="8"/>
    <w:unhideWhenUsed/>
    <w:qFormat/>
    <w:uiPriority w:val="99"/>
    <w:pPr>
      <w:tabs>
        <w:tab w:val="center" w:pos="4252"/>
        <w:tab w:val="right" w:pos="8504"/>
      </w:tabs>
      <w:spacing w:after="0" w:line="240" w:lineRule="auto"/>
    </w:pPr>
  </w:style>
  <w:style w:type="table" w:styleId="6">
    <w:name w:val="Table Grid"/>
    <w:basedOn w:val="3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Cabeçalho Char"/>
    <w:basedOn w:val="2"/>
    <w:link w:val="4"/>
    <w:qFormat/>
    <w:uiPriority w:val="99"/>
  </w:style>
  <w:style w:type="character" w:customStyle="1" w:styleId="8">
    <w:name w:val="Rodapé Char"/>
    <w:basedOn w:val="2"/>
    <w:link w:val="5"/>
    <w:qFormat/>
    <w:uiPriority w:val="99"/>
  </w:style>
  <w:style w:type="paragraph" w:customStyle="1" w:styleId="9">
    <w:name w:val="LO-normal"/>
    <w:qFormat/>
    <w:uiPriority w:val="0"/>
    <w:pPr>
      <w:suppressAutoHyphens/>
      <w:spacing w:after="160" w:line="259" w:lineRule="auto"/>
    </w:pPr>
    <w:rPr>
      <w:rFonts w:ascii="Calibri" w:hAnsi="Calibri" w:eastAsia="Calibri" w:cs="Calibri"/>
      <w:sz w:val="22"/>
      <w:szCs w:val="22"/>
      <w:lang w:val="pt-BR" w:eastAsia="zh-CN" w:bidi="hi-IN"/>
    </w:rPr>
  </w:style>
  <w:style w:type="paragraph" w:styleId="10">
    <w:name w:val="List Paragraph"/>
    <w:basedOn w:val="1"/>
    <w:qFormat/>
    <w:uiPriority w:val="34"/>
    <w:pPr>
      <w:suppressAutoHyphens/>
      <w:ind w:left="720"/>
      <w:contextualSpacing/>
    </w:pPr>
  </w:style>
  <w:style w:type="paragraph" w:customStyle="1" w:styleId="11">
    <w:name w:val="Default"/>
    <w:qFormat/>
    <w:uiPriority w:val="0"/>
    <w:pPr>
      <w:suppressAutoHyphens/>
    </w:pPr>
    <w:rPr>
      <w:rFonts w:ascii="Conduit ITC Light;Conduit ITC L" w:hAnsi="Conduit ITC Light;Conduit ITC L" w:eastAsia="Calibri" w:cs="Conduit ITC Light;Conduit ITC L"/>
      <w:color w:val="000000"/>
      <w:sz w:val="24"/>
      <w:szCs w:val="24"/>
      <w:lang w:val="pt-BR" w:eastAsia="en-GB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4AA9723-7649-4944-B535-062FE9DE6D1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994</Words>
  <Characters>5370</Characters>
  <Lines>44</Lines>
  <Paragraphs>12</Paragraphs>
  <TotalTime>7</TotalTime>
  <ScaleCrop>false</ScaleCrop>
  <LinksUpToDate>false</LinksUpToDate>
  <CharactersWithSpaces>6352</CharactersWithSpaces>
  <Application>WPS Office_12.2.0.13266_F1E327BC-269C-435d-A152-05C5408002CA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2022-11-08T12:55:00Z</dcterms:created>
  <dc:creator>Marcos Roberto Corrêa Maistro</dc:creator>
  <cp:lastModifiedBy>Ricardo Pedroso</cp:lastModifiedBy>
  <dcterms:modified xsi:type="dcterms:W3CDTF">2023-11-07T16:44:50Z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1046-12.2.0.13266</vt:lpwstr>
  </property>
  <property fmtid="{D5CDD505-2E9C-101B-9397-08002B2CF9AE}" pid="3" name="ICV">
    <vt:lpwstr>8181E64DC1794F9FAD59F847BC7F9A16</vt:lpwstr>
  </property>
</Properties>
</file>